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CPR VR részletes nemzetközi árjegyzék</w:t>
      </w:r>
    </w:p>
    <w:p>
      <w:r>
        <w:t>EU-piaci alapárak • 2026. szeptember 24.</w:t>
      </w:r>
    </w:p>
    <w:p>
      <w:r>
        <w:t>A CPR VR fizikai újraélesztő bábun végzett gyakorlást kapcsol össze virtuális környezettel és a mellkasi kompressziók valós idejű visszajelzésével. Válasszon általunk vezetett workshopot vagy saját intézményi oktatóállomást.</w:t>
      </w:r>
    </w:p>
    <w:p>
      <w:r>
        <w:t>Minden összeg EUR-ban értendő, áfa és célország szerinti adók nélkül. Magyarországi teljesítésre egyedi belföldi ajánlat készül.</w:t>
      </w:r>
    </w:p>
    <w:tbl>
      <w:tblPr>
        <w:tblW w:type="auto" w:w="0"/>
        <w:tblLayout w:type="autofit"/>
        <w:tblLook w:firstColumn="1" w:firstRow="1" w:lastColumn="0" w:lastRow="0" w:noHBand="0" w:noVBand="1" w:val="04A0"/>
      </w:tblPr>
      <w:tblGrid>
        <w:gridCol w:w="3400"/>
        <w:gridCol w:w="3400"/>
        <w:gridCol w:w="3400"/>
      </w:tblGrid>
      <w:tr>
        <w:trPr>
          <w:cantSplit/>
        </w:trPr>
        <w:tc>
          <w:tcPr>
            <w:tcW w:type="dxa" w:w="3400"/>
            <w:shd w:fill="C6F169"/>
          </w:tcPr>
          <w:p>
            <w:pPr>
              <w:spacing w:after="120" w:before="100"/>
            </w:pPr>
            <w:r>
              <w:rPr>
                <w:b/>
                <w:sz w:val="18"/>
              </w:rPr>
              <w:t>Csomag</w:t>
            </w:r>
          </w:p>
        </w:tc>
        <w:tc>
          <w:tcPr>
            <w:tcW w:type="dxa" w:w="3400"/>
            <w:shd w:fill="C6F169"/>
          </w:tcPr>
          <w:p>
            <w:pPr>
              <w:spacing w:after="120" w:before="100"/>
            </w:pPr>
            <w:r>
              <w:rPr>
                <w:b/>
                <w:sz w:val="18"/>
              </w:rPr>
              <w:t>Tartalom</w:t>
            </w:r>
          </w:p>
        </w:tc>
        <w:tc>
          <w:tcPr>
            <w:tcW w:type="dxa" w:w="3400"/>
            <w:shd w:fill="C6F169"/>
          </w:tcPr>
          <w:p>
            <w:pPr>
              <w:spacing w:after="120" w:before="100"/>
            </w:pPr>
            <w:r>
              <w:rPr>
                <w:b/>
                <w:sz w:val="18"/>
              </w:rPr>
              <w:t>Nettó díj</w:t>
            </w:r>
          </w:p>
        </w:tc>
      </w:tr>
      <w:tr>
        <w:trPr>
          <w:cantSplit/>
        </w:trPr>
        <w:tc>
          <w:tcPr>
            <w:tcW w:type="dxa" w:w="3400"/>
            <w:shd w:fill="F0F4F3"/>
          </w:tcPr>
          <w:p>
            <w:pPr>
              <w:spacing w:after="120" w:before="100"/>
            </w:pPr>
            <w:r>
              <w:rPr>
                <w:b w:val="0"/>
                <w:sz w:val="18"/>
              </w:rPr>
              <w:t>CPR Workshop</w:t>
            </w:r>
          </w:p>
        </w:tc>
        <w:tc>
          <w:tcPr>
            <w:tcW w:type="dxa" w:w="3400"/>
            <w:shd w:fill="F0F4F3"/>
          </w:tcPr>
          <w:p>
            <w:pPr>
              <w:spacing w:after="120" w:before="100"/>
            </w:pPr>
            <w:r>
              <w:rPr>
                <w:b w:val="0"/>
                <w:sz w:val="18"/>
              </w:rPr>
              <w:t>4 óra, legfeljebb 15 fő, 2 fős személyzet</w:t>
            </w:r>
          </w:p>
        </w:tc>
        <w:tc>
          <w:tcPr>
            <w:tcW w:type="dxa" w:w="3400"/>
            <w:shd w:fill="F0F4F3"/>
          </w:tcPr>
          <w:p>
            <w:pPr>
              <w:spacing w:after="120" w:before="100"/>
            </w:pPr>
            <w:r>
              <w:rPr>
                <w:b w:val="0"/>
                <w:sz w:val="18"/>
              </w:rPr>
              <w:t>1 490 EUR + utazás</w:t>
            </w:r>
          </w:p>
        </w:tc>
      </w:tr>
      <w:tr>
        <w:trPr>
          <w:cantSplit/>
        </w:trPr>
        <w:tc>
          <w:tcPr>
            <w:tcW w:type="dxa" w:w="3400"/>
            <w:shd w:fill="FFFFFF"/>
          </w:tcPr>
          <w:p>
            <w:pPr>
              <w:spacing w:after="120" w:before="100"/>
            </w:pPr>
            <w:r>
              <w:rPr>
                <w:b w:val="0"/>
                <w:sz w:val="18"/>
              </w:rPr>
              <w:t>CPR Annual Programme</w:t>
            </w:r>
          </w:p>
        </w:tc>
        <w:tc>
          <w:tcPr>
            <w:tcW w:type="dxa" w:w="3400"/>
            <w:shd w:fill="FFFFFF"/>
          </w:tcPr>
          <w:p>
            <w:pPr>
              <w:spacing w:after="120" w:before="100"/>
            </w:pPr>
            <w:r>
              <w:rPr>
                <w:b w:val="0"/>
                <w:sz w:val="18"/>
              </w:rPr>
              <w:t>4 workshop 12 hónapon belül, legfeljebb 60 részvételi hely</w:t>
            </w:r>
          </w:p>
        </w:tc>
        <w:tc>
          <w:tcPr>
            <w:tcW w:type="dxa" w:w="3400"/>
            <w:shd w:fill="FFFFFF"/>
          </w:tcPr>
          <w:p>
            <w:pPr>
              <w:spacing w:after="120" w:before="100"/>
            </w:pPr>
            <w:r>
              <w:rPr>
                <w:b w:val="0"/>
                <w:sz w:val="18"/>
              </w:rPr>
              <w:t>4 990 EUR + 4 utazás</w:t>
            </w:r>
          </w:p>
        </w:tc>
      </w:tr>
      <w:tr>
        <w:trPr>
          <w:cantSplit/>
        </w:trPr>
        <w:tc>
          <w:tcPr>
            <w:tcW w:type="dxa" w:w="3400"/>
            <w:shd w:fill="F0F4F3"/>
          </w:tcPr>
          <w:p>
            <w:pPr>
              <w:spacing w:after="120" w:before="100"/>
            </w:pPr>
            <w:r>
              <w:rPr>
                <w:b w:val="0"/>
                <w:sz w:val="18"/>
              </w:rPr>
              <w:t>CPR Institutional Licence</w:t>
            </w:r>
          </w:p>
        </w:tc>
        <w:tc>
          <w:tcPr>
            <w:tcW w:type="dxa" w:w="3400"/>
            <w:shd w:fill="F0F4F3"/>
          </w:tcPr>
          <w:p>
            <w:pPr>
              <w:spacing w:after="120" w:before="100"/>
            </w:pPr>
            <w:r>
              <w:rPr>
                <w:b w:val="0"/>
                <w:sz w:val="18"/>
              </w:rPr>
              <w:t>Saját kompatibilis eszközök, 12 havi licenc és távoli bevezetés</w:t>
            </w:r>
          </w:p>
        </w:tc>
        <w:tc>
          <w:tcPr>
            <w:tcW w:type="dxa" w:w="3400"/>
            <w:shd w:fill="F0F4F3"/>
          </w:tcPr>
          <w:p>
            <w:pPr>
              <w:spacing w:after="120" w:before="100"/>
            </w:pPr>
            <w:r>
              <w:rPr>
                <w:b w:val="0"/>
                <w:sz w:val="18"/>
              </w:rPr>
              <w:t>1 580 EUR / első év</w:t>
            </w:r>
          </w:p>
        </w:tc>
      </w:tr>
      <w:tr>
        <w:trPr>
          <w:cantSplit/>
        </w:trPr>
        <w:tc>
          <w:tcPr>
            <w:tcW w:type="dxa" w:w="3400"/>
            <w:shd w:fill="FFFFFF"/>
          </w:tcPr>
          <w:p>
            <w:pPr>
              <w:spacing w:after="120" w:before="100"/>
            </w:pPr>
            <w:r>
              <w:rPr>
                <w:b w:val="0"/>
                <w:sz w:val="18"/>
              </w:rPr>
              <w:t>CPR Complete Station</w:t>
            </w:r>
          </w:p>
        </w:tc>
        <w:tc>
          <w:tcPr>
            <w:tcW w:type="dxa" w:w="3400"/>
            <w:shd w:fill="FFFFFF"/>
          </w:tcPr>
          <w:p>
            <w:pPr>
              <w:spacing w:after="120" w:before="100"/>
            </w:pPr>
            <w:r>
              <w:rPr>
                <w:b w:val="0"/>
                <w:sz w:val="18"/>
              </w:rPr>
              <w:t>Saját tulajdonú teljes hardvercsomag, licenc, EU-s szállítás és távoli bevezetés</w:t>
            </w:r>
          </w:p>
        </w:tc>
        <w:tc>
          <w:tcPr>
            <w:tcW w:type="dxa" w:w="3400"/>
            <w:shd w:fill="FFFFFF"/>
          </w:tcPr>
          <w:p>
            <w:pPr>
              <w:spacing w:after="120" w:before="100"/>
            </w:pPr>
            <w:r>
              <w:rPr>
                <w:b w:val="0"/>
                <w:sz w:val="18"/>
              </w:rPr>
              <w:t>5 990 EUR / első év</w:t>
            </w:r>
          </w:p>
        </w:tc>
      </w:tr>
    </w:tbl>
    <w:p>
      <w:pPr>
        <w:pStyle w:val="Heading2"/>
      </w:pPr>
      <w:r>
        <w:t>Csomagválasztás és nyelv</w:t>
      </w:r>
    </w:p>
    <w:p>
      <w:r>
        <w:t>A Workshop és az Annual Programme szervezett oktatáshoz ajánlott. Az Institutional Licence saját kompatibilis eszközökkel és oktatókkal rendelkező intézményeknek szól; a Complete Station az eszközöket is biztosítja. Mindkét intézményi csomag egy jogi személy, egy telephely és egy megnevezett állomás használatára jogosít, egyszerre egy tanulóval. Saját dolgozók és hallgatók után nincs külön tanulónkénti licencdíj.</w:t>
      </w:r>
    </w:p>
    <w:p>
      <w:r>
        <w:t>A nemzetközi lebonyolítás, bevezetés, kezelési dokumentáció és támogatás angol nyelvű. Az alkalmazás nyelvét és verzióját az ajánlat rögzíti, és rendelés előtt bemutatjuk. További nyelvi lokalizáció külön szolgáltatás. A magyar árjegyzék nem jelent magyar nyelvű nemzetközi támogatást.</w:t>
      </w:r>
    </w:p>
    <w:p>
      <w:r>
        <w:br w:type="page"/>
      </w:r>
    </w:p>
    <w:p>
      <w:pPr>
        <w:pStyle w:val="Heading1"/>
      </w:pPr>
      <w:r>
        <w:t>Intézményi csomagok</w:t>
      </w:r>
    </w:p>
    <w:p>
      <w:pPr>
        <w:pStyle w:val="Heading2"/>
      </w:pPr>
      <w:r>
        <w:t>CPR Institutional Licence • 1 580 EUR</w:t>
      </w:r>
    </w:p>
    <w:p>
      <w:r>
        <w:t>Az első 12 hónap díja 1 190 EUR éves licencből és 390 EUR egyszeri távoli telepítési és bevezetési díjból áll. Megújítás: 1 190 EUR / év. A megrendelő saját eszközeit rendelés előtt kompatibilitási ellenőrzéssel jóváhagyjuk.</w:t>
      </w:r>
    </w:p>
    <w:p>
      <w:r>
        <w:t>Egy licenc a meglévő CPR alkalmazásra, egy megnevezett állomáson és telephelyen; a termékbemutatóban leírt laikus és szakmai gyakorlási módokkal.</w:t>
      </w:r>
    </w:p>
    <w:p>
      <w:r>
        <w:t>Távoli telepítés és üzembe helyezés, majd két, egyenként 2 órás online bevezetés legfeljebb 4 belső oktatónak. Angol kezelési útmutató és működtetési ellenőrzőlista.</w:t>
      </w:r>
    </w:p>
    <w:p>
      <w:r>
        <w:t>Kiadott termékfrissítések és hibajavítások, valamint 6 óra távoli felhasználói konzultáció a 12 hónapos időszakban.</w:t>
      </w:r>
    </w:p>
    <w:p>
      <w:r>
        <w:t>A jóváhagyott VR-szemüveget, integrált CPR-bábut, szükséges futtatóeszközt és tartozékokat az ügyfél biztosítja. Hardvervásárlás, csere és egyedi kompatibilitási fejlesztés nem része a csomagnak.</w:t>
      </w:r>
    </w:p>
    <w:p>
      <w:pPr>
        <w:pStyle w:val="Heading2"/>
      </w:pPr>
      <w:r>
        <w:t>CPR Complete Station • 5 990 EUR</w:t>
      </w:r>
    </w:p>
    <w:p>
      <w:r>
        <w:t>Az első 12 hónapra tartalmazza a fenti licencet, távoli üzembe helyezést és oktatói bevezetést, valamint egy előre konfigurált hardverkészletet. Szoftvermegújítás: 1 190 EUR / év.</w:t>
      </w:r>
    </w:p>
    <w:p>
      <w:r>
        <w:t>A készlet része egy kompatibilis VR-szemüveg, egy integrált fizikai CPR-bábu a kompressziós visszajelzéshez szükséges elemekkel, minden szükséges vezérlő, kábel, töltő és futtatóeszköz. Ha a kiválasztott konfiguráció számítógépet igényel, azt az ár tartalmazza. Szállítókoffer, induló higiéniai csomag, biztosított normál szállítás egy EU-s üzleti címre és vezetett távoli üzembe helyezés is jár hozzá.</w:t>
      </w:r>
    </w:p>
    <w:p>
      <w:r>
        <w:t>A pontos modelleket és eszközlistát a rendelés rögzíti. A hardver teljes kifizetés után az ügyfél tulajdona. A szoftver éves időszaka a sikeres üzembe helyezéskor indul. A 12 hónap utáni szoftverhasználat megújítást igényel; a hardver tulajdonjoga ettől független.</w:t>
      </w:r>
    </w:p>
    <w:p>
      <w:r>
        <w:br w:type="page"/>
      </w:r>
    </w:p>
    <w:p>
      <w:pPr>
        <w:pStyle w:val="Heading1"/>
      </w:pPr>
      <w:r>
        <w:t>Helyszíni workshopok és utazás</w:t>
      </w:r>
    </w:p>
    <w:p>
      <w:pPr>
        <w:pStyle w:val="Heading2"/>
      </w:pPr>
      <w:r>
        <w:t>CPR Workshop • 1 490 EUR + utazás</w:t>
      </w:r>
    </w:p>
    <w:p>
      <w:r>
        <w:t>4 órás alkalom legfeljebb 15 főnek: egy teljes CPR VR-állomás, egy további hagyományos gyakorlóbábu, egy CPR-oktató és egy technikai közreműködő. Angol nyelvű bevezetés és gyakorlatok; fejenként 10 perc egyéni VR-gyakorlat visszajelzéssel. Digitális részvételi igazolás és egyoldalas, oktató által írt csoportösszefoglaló 5 munkanapon belül.</w:t>
      </w:r>
    </w:p>
    <w:p>
      <w:r>
        <w:t>A 4 órán belül 30 perc bevezetés, 150 perc egyéni gyakorlat, 30 perc váltás és higiénia, 30 perc közös megbeszélés és szünet szerepel. Hagyományos gyakorlás párhuzamosan is lehetséges. Az előkészítés, higiéniai előkészítés és bontás biztosított; a telepítés és bontás a résztvevői időn kívül történik.</w:t>
      </w:r>
    </w:p>
    <w:p>
      <w:pPr>
        <w:pStyle w:val="Heading2"/>
      </w:pPr>
      <w:r>
        <w:t>CPR Annual Programme • 4 990 EUR + utazás</w:t>
      </w:r>
    </w:p>
    <w:p>
      <w:r>
        <w:t>4 teljes workshop 12 hónapon belül, alkalmanként legfeljebb 15 fővel. A legfeljebb 60 részvételi hely eltérő csoportokhoz vagy ugyanazon dolgozók ismétlő gyakorlásához használható. Megtakarítás négy külön workshophoz képest: 970 EUR, azaz 16,3% a szolgáltatási díjból.</w:t>
      </w:r>
    </w:p>
    <w:tbl>
      <w:tblPr>
        <w:tblW w:type="auto" w:w="0"/>
        <w:tblLayout w:type="autofit"/>
        <w:tblLook w:firstColumn="1" w:firstRow="1" w:lastColumn="0" w:lastRow="0" w:noHBand="0" w:noVBand="1" w:val="04A0"/>
      </w:tblPr>
      <w:tblGrid>
        <w:gridCol w:w="2550"/>
        <w:gridCol w:w="2550"/>
        <w:gridCol w:w="2550"/>
        <w:gridCol w:w="2550"/>
      </w:tblGrid>
      <w:tr>
        <w:trPr>
          <w:cantSplit/>
        </w:trPr>
        <w:tc>
          <w:tcPr>
            <w:tcW w:type="dxa" w:w="2550"/>
            <w:shd w:fill="C6F169"/>
          </w:tcPr>
          <w:p>
            <w:pPr>
              <w:spacing w:after="120" w:before="100"/>
            </w:pPr>
            <w:r>
              <w:rPr>
                <w:b/>
                <w:sz w:val="18"/>
              </w:rPr>
              <w:t>Célország</w:t>
            </w:r>
          </w:p>
        </w:tc>
        <w:tc>
          <w:tcPr>
            <w:tcW w:type="dxa" w:w="2550"/>
            <w:shd w:fill="C6F169"/>
          </w:tcPr>
          <w:p>
            <w:pPr>
              <w:spacing w:after="120" w:before="100"/>
            </w:pPr>
            <w:r>
              <w:rPr>
                <w:b/>
                <w:sz w:val="18"/>
              </w:rPr>
              <w:t>Utazás¹</w:t>
            </w:r>
          </w:p>
        </w:tc>
        <w:tc>
          <w:tcPr>
            <w:tcW w:type="dxa" w:w="2550"/>
            <w:shd w:fill="C6F169"/>
          </w:tcPr>
          <w:p>
            <w:pPr>
              <w:spacing w:after="120" w:before="100"/>
            </w:pPr>
            <w:r>
              <w:rPr>
                <w:b/>
                <w:sz w:val="18"/>
              </w:rPr>
              <w:t>Workshop²</w:t>
            </w:r>
          </w:p>
        </w:tc>
        <w:tc>
          <w:tcPr>
            <w:tcW w:type="dxa" w:w="2550"/>
            <w:shd w:fill="C6F169"/>
          </w:tcPr>
          <w:p>
            <w:pPr>
              <w:spacing w:after="120" w:before="100"/>
            </w:pPr>
            <w:r>
              <w:rPr>
                <w:b/>
                <w:sz w:val="18"/>
              </w:rPr>
              <w:t>Éves²</w:t>
            </w:r>
          </w:p>
        </w:tc>
      </w:tr>
      <w:tr>
        <w:trPr>
          <w:cantSplit/>
        </w:trPr>
        <w:tc>
          <w:tcPr>
            <w:tcW w:type="dxa" w:w="2550"/>
            <w:shd w:fill="F0F4F3"/>
          </w:tcPr>
          <w:p>
            <w:pPr>
              <w:spacing w:after="120" w:before="100"/>
            </w:pPr>
            <w:r>
              <w:rPr>
                <w:b w:val="0"/>
                <w:sz w:val="18"/>
              </w:rPr>
              <w:t>AT, SK, CZ, SI</w:t>
            </w:r>
          </w:p>
        </w:tc>
        <w:tc>
          <w:tcPr>
            <w:tcW w:type="dxa" w:w="2550"/>
            <w:shd w:fill="F0F4F3"/>
          </w:tcPr>
          <w:p>
            <w:pPr>
              <w:spacing w:after="120" w:before="100"/>
            </w:pPr>
            <w:r>
              <w:rPr>
                <w:b w:val="0"/>
                <w:sz w:val="18"/>
              </w:rPr>
              <w:t>490</w:t>
            </w:r>
          </w:p>
        </w:tc>
        <w:tc>
          <w:tcPr>
            <w:tcW w:type="dxa" w:w="2550"/>
            <w:shd w:fill="F0F4F3"/>
          </w:tcPr>
          <w:p>
            <w:pPr>
              <w:spacing w:after="120" w:before="100"/>
            </w:pPr>
            <w:r>
              <w:rPr>
                <w:b w:val="0"/>
                <w:sz w:val="18"/>
              </w:rPr>
              <w:t>1 980</w:t>
            </w:r>
          </w:p>
        </w:tc>
        <w:tc>
          <w:tcPr>
            <w:tcW w:type="dxa" w:w="2550"/>
            <w:shd w:fill="F0F4F3"/>
          </w:tcPr>
          <w:p>
            <w:pPr>
              <w:spacing w:after="120" w:before="100"/>
            </w:pPr>
            <w:r>
              <w:rPr>
                <w:b w:val="0"/>
                <w:sz w:val="18"/>
              </w:rPr>
              <w:t>6 950</w:t>
            </w:r>
          </w:p>
        </w:tc>
      </w:tr>
      <w:tr>
        <w:trPr>
          <w:cantSplit/>
        </w:trPr>
        <w:tc>
          <w:tcPr>
            <w:tcW w:type="dxa" w:w="2550"/>
            <w:shd w:fill="FFFFFF"/>
          </w:tcPr>
          <w:p>
            <w:pPr>
              <w:spacing w:after="120" w:before="100"/>
            </w:pPr>
            <w:r>
              <w:rPr>
                <w:b w:val="0"/>
                <w:sz w:val="18"/>
              </w:rPr>
              <w:t>DE, PL, HR, RO</w:t>
            </w:r>
          </w:p>
        </w:tc>
        <w:tc>
          <w:tcPr>
            <w:tcW w:type="dxa" w:w="2550"/>
            <w:shd w:fill="FFFFFF"/>
          </w:tcPr>
          <w:p>
            <w:pPr>
              <w:spacing w:after="120" w:before="100"/>
            </w:pPr>
            <w:r>
              <w:rPr>
                <w:b w:val="0"/>
                <w:sz w:val="18"/>
              </w:rPr>
              <w:t>790</w:t>
            </w:r>
          </w:p>
        </w:tc>
        <w:tc>
          <w:tcPr>
            <w:tcW w:type="dxa" w:w="2550"/>
            <w:shd w:fill="FFFFFF"/>
          </w:tcPr>
          <w:p>
            <w:pPr>
              <w:spacing w:after="120" w:before="100"/>
            </w:pPr>
            <w:r>
              <w:rPr>
                <w:b w:val="0"/>
                <w:sz w:val="18"/>
              </w:rPr>
              <w:t>2 280</w:t>
            </w:r>
          </w:p>
        </w:tc>
        <w:tc>
          <w:tcPr>
            <w:tcW w:type="dxa" w:w="2550"/>
            <w:shd w:fill="FFFFFF"/>
          </w:tcPr>
          <w:p>
            <w:pPr>
              <w:spacing w:after="120" w:before="100"/>
            </w:pPr>
            <w:r>
              <w:rPr>
                <w:b w:val="0"/>
                <w:sz w:val="18"/>
              </w:rPr>
              <w:t>8 150</w:t>
            </w:r>
          </w:p>
        </w:tc>
      </w:tr>
      <w:tr>
        <w:trPr>
          <w:cantSplit/>
        </w:trPr>
        <w:tc>
          <w:tcPr>
            <w:tcW w:type="dxa" w:w="2550"/>
            <w:shd w:fill="F0F4F3"/>
          </w:tcPr>
          <w:p>
            <w:pPr>
              <w:spacing w:after="120" w:before="100"/>
            </w:pPr>
            <w:r>
              <w:rPr>
                <w:b w:val="0"/>
                <w:sz w:val="18"/>
              </w:rPr>
              <w:t>Más EU-ország, HU kivételével</w:t>
            </w:r>
          </w:p>
        </w:tc>
        <w:tc>
          <w:tcPr>
            <w:tcW w:type="dxa" w:w="2550"/>
            <w:shd w:fill="F0F4F3"/>
          </w:tcPr>
          <w:p>
            <w:pPr>
              <w:spacing w:after="120" w:before="100"/>
            </w:pPr>
            <w:r>
              <w:rPr>
                <w:b w:val="0"/>
                <w:sz w:val="18"/>
              </w:rPr>
              <w:t>1 290</w:t>
            </w:r>
          </w:p>
        </w:tc>
        <w:tc>
          <w:tcPr>
            <w:tcW w:type="dxa" w:w="2550"/>
            <w:shd w:fill="F0F4F3"/>
          </w:tcPr>
          <w:p>
            <w:pPr>
              <w:spacing w:after="120" w:before="100"/>
            </w:pPr>
            <w:r>
              <w:rPr>
                <w:b w:val="0"/>
                <w:sz w:val="18"/>
              </w:rPr>
              <w:t>2 780</w:t>
            </w:r>
          </w:p>
        </w:tc>
        <w:tc>
          <w:tcPr>
            <w:tcW w:type="dxa" w:w="2550"/>
            <w:shd w:fill="F0F4F3"/>
          </w:tcPr>
          <w:p>
            <w:pPr>
              <w:spacing w:after="120" w:before="100"/>
            </w:pPr>
            <w:r>
              <w:rPr>
                <w:b w:val="0"/>
                <w:sz w:val="18"/>
              </w:rPr>
              <w:t>10 150</w:t>
            </w:r>
          </w:p>
        </w:tc>
      </w:tr>
    </w:tbl>
    <w:p>
      <w:r>
        <w:t>Minden táblázatérték nettó EUR. ¹ Látogatásonként. ² Utazással együtt; az éves összeg négy külön látogatással számol ugyanabba az országcsoportba. Eltérő célországoknál a 4 990 EUR-hoz a négy megfelelő utazási díj adódik.</w:t>
      </w:r>
    </w:p>
    <w:p>
      <w:r>
        <w:t>AT Ausztria, SK Szlovákia, CZ Csehország, SI Szlovénia; DE Németország, PL Lengyelország, HR Horvátország, RO Románia.</w:t>
      </w:r>
    </w:p>
    <w:p>
      <w:r>
        <w:t>A fix díj két munkatárs és az eszközök oda-vissza utazását, helyi transzfereket és legfeljebb két éjszakát fedez egy helyszíni naphoz, a repülőjegyet és szállást is beleértve. Feltétel: legalább 30 naptári napos előfoglalás és helyszín nemzetközi repülőtértől vagy jelentős helyközi vasútállomástól legfeljebb 60 km-re. Rövidebb előfoglalás, további napok, tengerentúli területek és eltérő megközelíthetőség esetén külön fix ajánlat készül foglalás előtt.</w:t>
      </w:r>
    </w:p>
    <w:p>
      <w:r>
        <w:br w:type="page"/>
      </w:r>
    </w:p>
    <w:p>
      <w:pPr>
        <w:pStyle w:val="Heading1"/>
      </w:pPr>
      <w:r>
        <w:t>Kiegészítők és támogatás</w:t>
      </w:r>
    </w:p>
    <w:tbl>
      <w:tblPr>
        <w:tblW w:type="auto" w:w="0"/>
        <w:tblLayout w:type="autofit"/>
        <w:tblLook w:firstColumn="1" w:firstRow="1" w:lastColumn="0" w:lastRow="0" w:noHBand="0" w:noVBand="1" w:val="04A0"/>
      </w:tblPr>
      <w:tblGrid>
        <w:gridCol w:w="5100"/>
        <w:gridCol w:w="5100"/>
      </w:tblGrid>
      <w:tr>
        <w:trPr>
          <w:cantSplit/>
        </w:trPr>
        <w:tc>
          <w:tcPr>
            <w:tcW w:type="dxa" w:w="5100"/>
            <w:shd w:fill="C6F169"/>
          </w:tcPr>
          <w:p>
            <w:pPr>
              <w:spacing w:after="120" w:before="100"/>
            </w:pPr>
            <w:r>
              <w:rPr>
                <w:b/>
                <w:sz w:val="18"/>
              </w:rPr>
              <w:t>Kiegészítő szolgáltatás</w:t>
            </w:r>
          </w:p>
        </w:tc>
        <w:tc>
          <w:tcPr>
            <w:tcW w:type="dxa" w:w="5100"/>
            <w:shd w:fill="C6F169"/>
          </w:tcPr>
          <w:p>
            <w:pPr>
              <w:spacing w:after="120" w:before="100"/>
            </w:pPr>
            <w:r>
              <w:rPr>
                <w:b/>
                <w:sz w:val="18"/>
              </w:rPr>
              <w:t>Nettó díj</w:t>
            </w:r>
          </w:p>
        </w:tc>
      </w:tr>
      <w:tr>
        <w:trPr>
          <w:cantSplit/>
        </w:trPr>
        <w:tc>
          <w:tcPr>
            <w:tcW w:type="dxa" w:w="5100"/>
            <w:shd w:fill="F0F4F3"/>
          </w:tcPr>
          <w:p>
            <w:pPr>
              <w:spacing w:after="120" w:before="100"/>
            </w:pPr>
            <w:r>
              <w:rPr>
                <w:b w:val="0"/>
                <w:sz w:val="18"/>
              </w:rPr>
              <w:t>Második 4 órás workshop ugyanazon a napon és helyszínen, további legfeljebb 15 főnek</w:t>
            </w:r>
          </w:p>
        </w:tc>
        <w:tc>
          <w:tcPr>
            <w:tcW w:type="dxa" w:w="5100"/>
            <w:shd w:fill="F0F4F3"/>
          </w:tcPr>
          <w:p>
            <w:pPr>
              <w:spacing w:after="120" w:before="100"/>
            </w:pPr>
            <w:r>
              <w:rPr>
                <w:b w:val="0"/>
                <w:sz w:val="18"/>
              </w:rPr>
              <w:t>990 EUR</w:t>
            </w:r>
          </w:p>
        </w:tc>
      </w:tr>
      <w:tr>
        <w:trPr>
          <w:cantSplit/>
        </w:trPr>
        <w:tc>
          <w:tcPr>
            <w:tcW w:type="dxa" w:w="5100"/>
            <w:shd w:fill="FFFFFF"/>
          </w:tcPr>
          <w:p>
            <w:pPr>
              <w:spacing w:after="120" w:before="100"/>
            </w:pPr>
            <w:r>
              <w:rPr>
                <w:b w:val="0"/>
                <w:sz w:val="18"/>
              </w:rPr>
              <w:t>Helyszíni üzembe helyezés és 4 órás bevezetés legfeljebb 4 oktatónak, a távoli bevezetés helyett</w:t>
            </w:r>
          </w:p>
        </w:tc>
        <w:tc>
          <w:tcPr>
            <w:tcW w:type="dxa" w:w="5100"/>
            <w:shd w:fill="FFFFFF"/>
          </w:tcPr>
          <w:p>
            <w:pPr>
              <w:spacing w:after="120" w:before="100"/>
            </w:pPr>
            <w:r>
              <w:rPr>
                <w:b w:val="0"/>
                <w:sz w:val="18"/>
              </w:rPr>
              <w:t>490 EUR + utazás</w:t>
            </w:r>
          </w:p>
        </w:tc>
      </w:tr>
      <w:tr>
        <w:trPr>
          <w:cantSplit/>
        </w:trPr>
        <w:tc>
          <w:tcPr>
            <w:tcW w:type="dxa" w:w="5100"/>
            <w:shd w:fill="F0F4F3"/>
          </w:tcPr>
          <w:p>
            <w:pPr>
              <w:spacing w:after="120" w:before="100"/>
            </w:pPr>
            <w:r>
              <w:rPr>
                <w:b w:val="0"/>
                <w:sz w:val="18"/>
              </w:rPr>
              <w:t>További 2 órás online kezelői bevezetés legfeljebb 4 főnek</w:t>
            </w:r>
          </w:p>
        </w:tc>
        <w:tc>
          <w:tcPr>
            <w:tcW w:type="dxa" w:w="5100"/>
            <w:shd w:fill="F0F4F3"/>
          </w:tcPr>
          <w:p>
            <w:pPr>
              <w:spacing w:after="120" w:before="100"/>
            </w:pPr>
            <w:r>
              <w:rPr>
                <w:b w:val="0"/>
                <w:sz w:val="18"/>
              </w:rPr>
              <w:t>190 EUR</w:t>
            </w:r>
          </w:p>
        </w:tc>
      </w:tr>
      <w:tr>
        <w:trPr>
          <w:cantSplit/>
        </w:trPr>
        <w:tc>
          <w:tcPr>
            <w:tcW w:type="dxa" w:w="5100"/>
            <w:shd w:fill="FFFFFF"/>
          </w:tcPr>
          <w:p>
            <w:pPr>
              <w:spacing w:after="120" w:before="100"/>
            </w:pPr>
            <w:r>
              <w:rPr>
                <w:b w:val="0"/>
                <w:sz w:val="18"/>
              </w:rPr>
              <w:t>Távoli felhasználói konzultáció az éves 6 órán túl</w:t>
            </w:r>
          </w:p>
        </w:tc>
        <w:tc>
          <w:tcPr>
            <w:tcW w:type="dxa" w:w="5100"/>
            <w:shd w:fill="FFFFFF"/>
          </w:tcPr>
          <w:p>
            <w:pPr>
              <w:spacing w:after="120" w:before="100"/>
            </w:pPr>
            <w:r>
              <w:rPr>
                <w:b w:val="0"/>
                <w:sz w:val="18"/>
              </w:rPr>
              <w:t>90 EUR / óra</w:t>
            </w:r>
          </w:p>
        </w:tc>
      </w:tr>
    </w:tbl>
    <w:p>
      <w:pPr>
        <w:pStyle w:val="Heading2"/>
      </w:pPr>
      <w:r>
        <w:t>Teljes rendelési példák</w:t>
      </w:r>
    </w:p>
    <w:p>
      <w:r>
        <w:t>Németország, 30 résztvevő egy napon: 1 490 + 990 + 790 = 3 270 EUR nettó. Két egymást követő csoport, összesen 8 óra résztvevői idő, ezen felül szünetek és telepítés.</w:t>
      </w:r>
    </w:p>
    <w:p>
      <w:r>
        <w:t>Németország, Complete Station helyszíni üzembe helyezéssel: 5 990 + 490 + 790 = 7 270 EUR nettó. A szállítás benne van; éves szoftvermegújítás 1 190 EUR.</w:t>
      </w:r>
    </w:p>
    <w:p>
      <w:pPr>
        <w:pStyle w:val="Heading2"/>
      </w:pPr>
      <w:r>
        <w:t>Támogatás és üzemeltetés</w:t>
      </w:r>
    </w:p>
    <w:p>
      <w:r>
        <w:t>Angol nyelvű támogatás magyar munkanapokon 09:00–17:00 között, budapesti helyi idő szerint. Az első válasz célideje két munkanap. Az éves 6 órán felüli felhasználói konzultáció 90 EUR/óra; a termékhibák bejelentése ettől a kerettől külön kezelendő.</w:t>
      </w:r>
    </w:p>
    <w:p>
      <w:r>
        <w:t>Az intézmény saját oktatókat és megfelelő oktatóteret biztosít. A távoli hardverdiagnosztika és a gyártói garanciális ügyintézés koordinációja szerepel a csomagban. A garancia időtartamát és a javítási szállítás felelősségét az ajánlat rögzíti. Fogyóeszköz, véletlen sérülés és kölcsönkészülék nem tartozik az alapcsomagba.</w:t>
      </w:r>
    </w:p>
    <w:p>
      <w:r>
        <w:br w:type="page"/>
      </w:r>
    </w:p>
    <w:p>
      <w:pPr>
        <w:pStyle w:val="Heading1"/>
      </w:pPr>
      <w:r>
        <w:t>Kereskedelmi feltételek</w:t>
      </w:r>
    </w:p>
    <w:p>
      <w:pPr>
        <w:pStyle w:val="Heading2"/>
      </w:pPr>
      <w:r>
        <w:t>Fizetés és ajánlati érvényesség</w:t>
      </w:r>
    </w:p>
    <w:p>
      <w:r>
        <w:t>Workshop: a teljes díj 50%-a foglaláskor, 50%-a teljesítés után. Annual Programme: négy vállalt látogatás 12 hónapon belül, alkalmanként előre számlázott 1 247,50 EUR és utazási díj. Institutional Licence: aktiválás előtt fizetendő. Complete Station: 50% rendeléskor, 50% feladás előtt. Számlafizetési határidő 15 nap; az egyedi ajánlat érvényessége 30 nap.</w:t>
      </w:r>
    </w:p>
    <w:p>
      <w:r>
        <w:t>A lemondás és időpontmódosítás feltételeit rendelés előtt egyedileg rögzítjük; ez az árjegyzék nem állapít meg automatikus lemondási díjat.</w:t>
      </w:r>
    </w:p>
    <w:p>
      <w:pPr>
        <w:pStyle w:val="Heading2"/>
      </w:pPr>
      <w:r>
        <w:t>Licenc és képzési keretek</w:t>
      </w:r>
    </w:p>
    <w:p>
      <w:r>
        <w:t>A licenc az intézmény saját dolgozóinak és hallgatóinak képzésére szól. Továbbértékesítés, allicenc, külső fizetős oktatás, további telephelyek és párhuzamos állomások külön megállapodást igényelnek. A megújítás újabb 12 hónapra szól; a forráskód és szellemi tulajdon a jogosultaknál marad.</w:t>
      </w:r>
    </w:p>
    <w:p>
      <w:r>
        <w:t>Új fordítások, egyedi szituációk, LMS-integráció és automatizált vezetői riportok külön árazott feladatok. Az alkalmazás nyelvét a rendelés előtti bemutatón visszaigazoljuk. A workshop részvételi igazolást ad; akkreditált BLS/AED-képesítés, vizsgadíj és jogszabály szerinti munkahelyi elsősegélynyújtó-képesítés nem része a csomagoknak.</w:t>
      </w:r>
    </w:p>
    <w:p>
      <w:pPr>
        <w:pStyle w:val="Heading2"/>
      </w:pPr>
      <w:r>
        <w:t>Szállítás és adók</w:t>
      </w:r>
    </w:p>
    <w:p>
      <w:r>
        <w:t>Az állomás ára biztosított normál EU-s szállítást és távoli üzembe helyezést tartalmaz. Speciális fuvar és tengerentúli területek külön ajánlat tárgyai. Az Egyesült Királyság, Svájc és más EU-n kívüli célországok esetén azonos alapárak érvényesek, a fuvart, importterheket és helyi adaptációt elfogadás előtt tételesen feltüntetjük. EU-n kívüli helyszíni utazás egyedi árazású.</w:t>
      </w:r>
    </w:p>
    <w:p>
      <w:r>
        <w:t>Az adókezelést az ügyfél, a célország és a teljesítés alapján rendelésenként tisztázzuk. Az ajánlat tartalmazza a teljes árat, a teljesítési dátumot, a szoftver nyelvét és az eszközspecifikációt. Kapcsolat: info@future-meditech.com.</w:t>
      </w:r>
    </w:p>
    <w:sectPr w:rsidR="00FC693F" w:rsidRPr="0006063C" w:rsidSect="00034616">
      <w:headerReference w:type="default" r:id="rId9"/>
      <w:footerReference w:type="default" r:id="rId10"/>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futuremeditech.hu  •  info@future-meditech.com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FUTURE MEDITECH</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8" w:lineRule="auto"/>
    </w:pPr>
    <w:rPr>
      <w:rFonts w:ascii="Manrope" w:hAnsi="Manrope"/>
      <w:color w:val="0B2536"/>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ascii="Manrope" w:hAnsi="Manrope"/>
      <w:b/>
      <w:bCs/>
      <w:color w:val="0B2536"/>
      <w:sz w:val="38"/>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Manrope" w:hAnsi="Manrope"/>
      <w:b/>
      <w:bCs/>
      <w:color w:val="0B2536"/>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Manrope" w:hAnsi="Manrope"/>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Manrope" w:hAnsi="Manrope"/>
      <w:i/>
      <w:iCs/>
      <w:color w:val="0B2536"/>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hu</dc:language>
</cp:coreProperties>
</file>